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9D" w:rsidRDefault="00757F9D" w:rsidP="00757F9D"/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7F9D" w:rsidRPr="00CE4034" w:rsidTr="005E6DA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75" w:type="dxa"/>
            </w:tcMar>
            <w:hideMark/>
          </w:tcPr>
          <w:p w:rsidR="00757F9D" w:rsidRPr="00913EB1" w:rsidRDefault="00757F9D" w:rsidP="005E6DA5">
            <w:pPr>
              <w:spacing w:before="100" w:after="100" w:line="240" w:lineRule="auto"/>
              <w:ind w:right="3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B1">
              <w:rPr>
                <w:rFonts w:ascii="Arial" w:hAnsi="Arial" w:cs="Arial"/>
                <w:b/>
                <w:color w:val="000000"/>
                <w:sz w:val="28"/>
                <w:szCs w:val="28"/>
              </w:rPr>
              <w:t>Администрация Латненского сельского поселения</w:t>
            </w:r>
          </w:p>
          <w:p w:rsidR="00757F9D" w:rsidRPr="00CE4034" w:rsidRDefault="00757F9D" w:rsidP="005E6DA5">
            <w:pPr>
              <w:spacing w:before="100" w:after="100" w:line="240" w:lineRule="auto"/>
              <w:ind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B1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Семилукского муниципального района Воронежской области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57F9D" w:rsidRPr="00BF6327" w:rsidTr="005E6DA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0" w:type="dxa"/>
              <w:right w:w="300" w:type="dxa"/>
            </w:tcMar>
            <w:hideMark/>
          </w:tcPr>
          <w:p w:rsidR="00757F9D" w:rsidRPr="00BF6327" w:rsidRDefault="00757F9D" w:rsidP="005E6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Отчет о проделанной работе Главы Латненского сельского поселения</w:t>
            </w:r>
          </w:p>
          <w:p w:rsidR="00757F9D" w:rsidRPr="00BF6327" w:rsidRDefault="00757F9D" w:rsidP="005E6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Семилукского муниципального района Воронежской области за 2021 года.</w:t>
            </w:r>
          </w:p>
          <w:p w:rsidR="00757F9D" w:rsidRPr="00BF6327" w:rsidRDefault="00757F9D" w:rsidP="005E6DA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FB2A51" w:rsidRDefault="00757F9D" w:rsidP="005E6DA5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B2A51">
              <w:rPr>
                <w:rFonts w:ascii="Arial" w:hAnsi="Arial" w:cs="Arial"/>
                <w:color w:val="000000"/>
                <w:sz w:val="26"/>
                <w:szCs w:val="26"/>
              </w:rPr>
              <w:t>Добрый день, уважаемые депутаты, жители села, коллеги и гости!</w:t>
            </w:r>
          </w:p>
          <w:p w:rsidR="00757F9D" w:rsidRPr="00FB2A51" w:rsidRDefault="00757F9D" w:rsidP="005E6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41BA4">
              <w:rPr>
                <w:rFonts w:ascii="Arial" w:hAnsi="Arial" w:cs="Arial"/>
                <w:color w:val="000000"/>
                <w:sz w:val="26"/>
                <w:szCs w:val="26"/>
              </w:rPr>
              <w:t>Цель сегодняшней встречи – подведение итогов деятельности администрации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Латненского сельского поселения за 2021</w:t>
            </w:r>
            <w:r w:rsidRPr="00C41BA4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и перспективах развития на текущий</w:t>
            </w:r>
            <w:r w:rsidRPr="00C41BA4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757F9D" w:rsidRPr="00FB2A51" w:rsidRDefault="00757F9D" w:rsidP="005E6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B2A51">
              <w:rPr>
                <w:rFonts w:ascii="Arial" w:hAnsi="Arial" w:cs="Arial"/>
                <w:color w:val="000000"/>
                <w:sz w:val="26"/>
                <w:szCs w:val="26"/>
              </w:rPr>
              <w:t xml:space="preserve">Для нас это очень важно – рассказать Вам о том, что удалось сделать, получить оценку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результатов работы, выявить волнующие Вас проблемы, поделиться планами на будущее.</w:t>
            </w:r>
          </w:p>
          <w:p w:rsidR="00757F9D" w:rsidRPr="00A80DB8" w:rsidRDefault="00757F9D" w:rsidP="005E6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Задача администрации поселения – это исполнение полномочий, преду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смотренных в ФЗ №131 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у главы и сотрудников администрации. Проводится регулярное информирование населения об актуальных событиях и мероприятиях в поселении.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Вся работа администрации - это забота о населении. Если люди к нам обращаются, значит надеются на помощь. Официально, за отчетный период, на личный прием к главе поселения и работникам администрации обратилось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- 4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7 человек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по самым разнообразным вопросам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В основном это жизненные вопросы, касающиеся улучшения жилищных условий, оформление жилья в собственность, строительства, материального положения, вопросам землепользования и т.д.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Работ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никами администрации выдано более 400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справок, включая адресные справки, справки о месте проживания и прописке, по вопросам принадлежности объектов недвижимости, о составе семьи, характеристики и иным вопросам.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Было проведено 11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встреч с жителями поселения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Сотрудниками администрации регулярно проводились сверки похозяйственных книг, подготавливались отчеты о деятельности администрации, а также ответы на письма и запросы органов власти, организаций и населению (за отчетный период в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ходящих писем-700, исходящих-584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).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В рамках нормативной 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за отчетный период принято -57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постановлений,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30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- распоряжений по основной деятельности.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Все нормативно-правовые документы обнародуются путем размещения информации на информационных стендах, в газете «Семилукская жизнь», а также в электронном виде на официальном сайте поселения.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Проекты решений сессии, постановления администрации направляются в прокуратуру района и находятся под постоянным контролем Воронежского областного правового управления.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За отчетный период учтено 864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хозяйств. На терри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тории поселения проживает - 1668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человек.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Совместно со школой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проводится работа с неблагополучными семьями и трудными подростками, оказываем всестороннюю помощь семьям, попавшим в трудную жизненную ситуацию.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E43D77" w:rsidRDefault="00757F9D" w:rsidP="005E6DA5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3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БЮДЖЕТ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При формировании бюджета в 2021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году были предусмотрены расходы на: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- содержание и ремонт дорог;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- благоустройство территории;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-обеспечивалось своевременное направление средств на оплату с начислениями работникам муниципальных учреждений и другие вопросы обеспечения жизненных потребностей жителей поселения.</w:t>
            </w:r>
          </w:p>
          <w:p w:rsidR="00757F9D" w:rsidRPr="009C6673" w:rsidRDefault="00757F9D" w:rsidP="005E6DA5">
            <w:pPr>
              <w:shd w:val="clear" w:color="auto" w:fill="FFFFFF"/>
              <w:spacing w:after="0" w:line="306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C6673">
              <w:rPr>
                <w:rFonts w:ascii="Arial" w:hAnsi="Arial" w:cs="Arial"/>
                <w:color w:val="000000"/>
                <w:sz w:val="26"/>
                <w:szCs w:val="26"/>
              </w:rPr>
              <w:t>Просроченная кредиторская задолженность за 2021 отсутствует.</w:t>
            </w:r>
          </w:p>
          <w:p w:rsidR="00757F9D" w:rsidRDefault="00757F9D" w:rsidP="005E6DA5">
            <w:pPr>
              <w:shd w:val="clear" w:color="auto" w:fill="FFFFFF"/>
              <w:spacing w:after="0" w:line="30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F9D" w:rsidRPr="004A7AF1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4A7AF1">
              <w:rPr>
                <w:rFonts w:ascii="Arial" w:hAnsi="Arial" w:cs="Arial"/>
                <w:b/>
                <w:color w:val="000000"/>
                <w:sz w:val="26"/>
                <w:szCs w:val="26"/>
              </w:rPr>
              <w:t>1.Доходы бюджета всего-10255,6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4A7AF1">
              <w:rPr>
                <w:rFonts w:ascii="Arial" w:hAnsi="Arial" w:cs="Arial"/>
                <w:b/>
                <w:color w:val="000000"/>
                <w:sz w:val="26"/>
                <w:szCs w:val="26"/>
              </w:rPr>
              <w:t>тыс.р.;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br/>
              <w:t>– доля собственных доходов – 2015,9 тыс.р., что составляет 19,6 %  в общем объеме поступлений.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– 67,2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 – 232,5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– 196,0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– 1471,8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Доход от использования имущества, находящегося в государственной и муниципальной собственности – 26,4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Штрафы и неустойки – 22,0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Безвозмездные поступления от вышестоящих бюджетов: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отация бюджету на поддержку мер по обеспечению сбалансированности бюджетов 1118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Субвенция на воинский учёт 90,6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Иные межбюджетные трансферты в сумме 7031,1т.р.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 на дорожный фонд — 5153,5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Межбюджетные трансферты для компенсации дополнительных расходов- 1189,3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Субсидии на уличное освещение 19,6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трансферты: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на общественные работы 8,7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на сбалансированность бюджета -660,0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757F9D" w:rsidRPr="004A7AF1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4A7AF1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Расходы бюджета всего – </w:t>
            </w:r>
            <w:r w:rsidRPr="004A7AF1">
              <w:rPr>
                <w:rFonts w:ascii="Arial" w:hAnsi="Arial" w:cs="Arial"/>
                <w:b/>
                <w:color w:val="000000"/>
                <w:sz w:val="26"/>
                <w:szCs w:val="26"/>
              </w:rPr>
              <w:t>10116,8 т.р.</w:t>
            </w:r>
          </w:p>
          <w:p w:rsidR="00757F9D" w:rsidRPr="004A7AF1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Из них;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Зарплата с начислениями органов управления 1 936,8 т.р., работника ВУС 90,6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Расходы на содержание органов местного самоуправления- 945,8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Из них;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Оплата уличного освещения– 292,7т.р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 – 709,3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Коммунальное хозяйство – 235,4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Ремонт и обслуживание дорог - 5153,5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Социальное обеспечение(пенсия) – 321,5 т.р.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Занятость населения- 11,1 т.р.</w:t>
            </w:r>
          </w:p>
          <w:p w:rsidR="00757F9D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47C9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работ и услуг-420,0 т.р.</w:t>
            </w:r>
          </w:p>
          <w:p w:rsidR="00757F9D" w:rsidRPr="00CE4034" w:rsidRDefault="00757F9D" w:rsidP="005E6DA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Таким образом бюджет </w:t>
            </w:r>
            <w:r w:rsidRPr="00CE4034">
              <w:rPr>
                <w:rFonts w:ascii="Arial" w:hAnsi="Arial" w:cs="Arial"/>
                <w:color w:val="000000"/>
                <w:sz w:val="28"/>
                <w:szCs w:val="28"/>
              </w:rPr>
              <w:t>исполнен в полном объеме и в соответствии с законодательством.</w:t>
            </w:r>
            <w:r w:rsidRPr="00CE40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57F9D" w:rsidRPr="009E47C9" w:rsidRDefault="00757F9D" w:rsidP="005E6DA5">
            <w:pPr>
              <w:shd w:val="clear" w:color="auto" w:fill="FFFFFF"/>
              <w:spacing w:after="0"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4D54E9" w:rsidRDefault="00757F9D" w:rsidP="005E6DA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57F9D" w:rsidRPr="004D54E9" w:rsidRDefault="00757F9D" w:rsidP="005E6DA5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4E9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БЛАГОУСТРОЙСТВО И САНИТАРНЫЙ ПОРЯДОК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Вопросы благоустройства территории сельского поселения за отчетный период также заслуживают особого внимания. С апреля месяца население активно начало заниматься уборкой своих придомовых территорий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Также 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был объявлен месячник по уборке территории поселения. Жители наших населенных пунктов, предприниматели, организации активно включились в эту работу. Я думаю и уверен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, что всем хочется 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жить в красивом, уютном, чистом и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благоустроенном селе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. Это не потребует больших усилий, если мы просто начнем уважать себя и своих односельчан. В тоже время, не все еще прониклись пониманием того, что никто за нас наводить порядок не будет, все делать нужно самим.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2021 году провели огромную работу по опиловке деревьев в селе Латное, практически все обращения жителей были удовлетворены.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В течение весенне-летнего периода регулярно проводился обкос внутри поселковых до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рог, придомовых территорий.</w:t>
            </w:r>
          </w:p>
          <w:p w:rsidR="00757F9D" w:rsidRPr="00FE12B5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E12B5">
              <w:rPr>
                <w:rFonts w:ascii="Arial" w:hAnsi="Arial" w:cs="Arial"/>
                <w:color w:val="000000"/>
                <w:sz w:val="26"/>
                <w:szCs w:val="26"/>
              </w:rPr>
              <w:t>Регулярно, на еженедельной основе убирается мусор на территории поселения, вывоз которого осуществляет ООО «Эко технология».</w:t>
            </w:r>
          </w:p>
          <w:p w:rsidR="00757F9D" w:rsidRPr="00FE12B5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E12B5">
              <w:rPr>
                <w:rFonts w:ascii="Arial" w:hAnsi="Arial" w:cs="Arial"/>
                <w:color w:val="000000"/>
                <w:sz w:val="26"/>
                <w:szCs w:val="26"/>
              </w:rPr>
              <w:t>Также регулярно осуществляется вывоз несанкцион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ированной свалки </w:t>
            </w:r>
            <w:r w:rsidRPr="00FE12B5">
              <w:rPr>
                <w:rFonts w:ascii="Arial" w:hAnsi="Arial" w:cs="Arial"/>
                <w:color w:val="000000"/>
                <w:sz w:val="26"/>
                <w:szCs w:val="26"/>
              </w:rPr>
              <w:t>рядом со старым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FE12B5">
              <w:rPr>
                <w:rFonts w:ascii="Arial" w:hAnsi="Arial" w:cs="Arial"/>
                <w:color w:val="000000"/>
                <w:sz w:val="26"/>
                <w:szCs w:val="26"/>
              </w:rPr>
              <w:t>кладбищем.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В тоже время нужно признать, что администрация не в полной мере принимает решительные меры в наведении порядка на прилегающих территориях к домовладениям граждан. Убедительные меры на наших людей действуют слабо, оформлением административных протоколов о правонарушении правил благоустройства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за отчетный период составлялись в размере 6 штук, но как показывает практика этого недостаточно. Но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с наступлением благоприятных погодных условий для уборки территорий этот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недостаток работы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мы устраним. Каждый собственник домовладения, который складывает строительные материалы, разобранную технику, другие материалы будет привлечен к административной ответственности.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Хотелось бы отдельно отметить, что в 2021 году нам удалось совместно с жителями села принять участие в конурке, мы подали заявку в </w:t>
            </w:r>
            <w:r w:rsidRPr="0090095D">
              <w:rPr>
                <w:rFonts w:ascii="Arial" w:hAnsi="Arial" w:cs="Arial"/>
                <w:color w:val="000000"/>
                <w:sz w:val="26"/>
                <w:szCs w:val="26"/>
              </w:rPr>
              <w:t>Автономную некоммерческую организацию «Образ будущего»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на реализацию проекта – установка спортивно-игровой площадки по ул. Свободы, таким образом задуманное было реализовано и в сентябре 2021 года площадка уже начала функционировать и радовать наших детей ну и конечно же родителей. Проект реализован на сумму 961 939 руб.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предыдущем</w:t>
            </w: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по линии ТОС удалось воплотить в жизнь 2 проекта, это кстати впервые за все существовании ТОСов на территории поселения, МЫ установили детскую площадку в селе Дальнее Ляпино и на берегу реки «Ведуга» организовали место отдыха у воды.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текущем году поданы так же 2 заявки на реализацию проектов: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-ТОС «Ляпинский»- ограждение детской площадки.</w:t>
            </w:r>
          </w:p>
          <w:p w:rsidR="00757F9D" w:rsidRPr="00902159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-ТОС «Октябрьский»- ограждение нового кладбища.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В марте 2022 пройдет зашита данных проектов, очень верим и будем стараться реализовать задуманное.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планах на 2022 год поставлена задача поучаствовать еще в одном конкурсе «и</w:t>
            </w:r>
            <w:r w:rsidRPr="003F691C">
              <w:rPr>
                <w:rFonts w:ascii="Arial" w:hAnsi="Arial" w:cs="Arial"/>
                <w:color w:val="000000"/>
                <w:sz w:val="26"/>
                <w:szCs w:val="26"/>
              </w:rPr>
              <w:t>нициативное бюджетирование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 - цель построить парк рядом с храмом.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757F9D" w:rsidRPr="006A0FD9" w:rsidRDefault="00757F9D" w:rsidP="005E6DA5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A0FD9">
              <w:rPr>
                <w:rFonts w:ascii="Arial" w:hAnsi="Arial" w:cs="Arial"/>
                <w:b/>
                <w:color w:val="000000"/>
                <w:sz w:val="26"/>
                <w:szCs w:val="26"/>
              </w:rPr>
              <w:t>Уличное освещение</w:t>
            </w:r>
          </w:p>
          <w:p w:rsidR="00757F9D" w:rsidRPr="00902159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2021 году б</w:t>
            </w: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 xml:space="preserve">ыли проведены работы по модернизации уличного освещения,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дополнительно к имеющимся 205 светильникам установлено 146 </w:t>
            </w: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>новых.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Общее количество составляет 351 штук, мощностью 50, 35 и до 30</w:t>
            </w: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ват. На реконструкцию израсходовано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 млн 232 тыс руб.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В </w:t>
            </w: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 xml:space="preserve">январе 2021 года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установлена дополнительная </w:t>
            </w: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>опор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 со светильником </w:t>
            </w:r>
            <w:r w:rsidRPr="00902159">
              <w:rPr>
                <w:rFonts w:ascii="Arial" w:hAnsi="Arial" w:cs="Arial"/>
                <w:color w:val="000000"/>
                <w:sz w:val="26"/>
                <w:szCs w:val="26"/>
              </w:rPr>
              <w:t>около моста на ул. Победы.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апреле –мае 2022 года планируется по улице Железнодорожной от 1 до 33 дома увеличить мощность, заявка подана, договор заключен в декабре 2021 года – срок исполнения договора 4 месяца.</w:t>
            </w:r>
          </w:p>
          <w:p w:rsidR="00757F9D" w:rsidRPr="00902159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Также по улице Победа от дома № 38 до трансформатора планируется увеличение мощности с заменой опор, договор заключен в декабре 2021 года, срок исполнения 4 месяца.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902159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4D54E9" w:rsidRDefault="00757F9D" w:rsidP="005E6DA5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4D54E9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Ремонт дорог в населенных пунктах.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Одним из ведущих направлений работы администрации в прошедшем году являлась работа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по ремонту уличных дорог.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 Из дорожного фонда и за счет областных субсидий было выделено и израсходовано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4 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млн.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778 тыс. 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>рублей на ремонт дорог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 Отсыпано щебнем ул. Садовая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протяженностью 1 км 150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, Заречная протяженностью 1 км 340 м, ул Октябрьская 286 м. Проложен новый асфальт по региональной дороге от ж/д переезда до 61 дома по улице Свободы, общая протяжённость 2 км 880 м. 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>В текущем году решением сессии Совета народных депутатов запланиро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вана отсыпка улиц частично ул.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 Садовая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820м, ул. Октябрьская от 41 дома до 53 дома – протяженность 300м. 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ул. Куйбышева 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протяженностью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9679D7">
              <w:rPr>
                <w:rFonts w:ascii="Arial" w:hAnsi="Arial" w:cs="Arial"/>
                <w:color w:val="000000"/>
                <w:sz w:val="26"/>
                <w:szCs w:val="26"/>
              </w:rPr>
              <w:t xml:space="preserve"> км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100 м.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6A0FD9" w:rsidRDefault="00757F9D" w:rsidP="005E6DA5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A0F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Земельные вопросы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В сельском поселении площа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дь всей земли составляет -3,7 тыс.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га.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для бюджета поселения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является важнейшим доходным источником. Плательщиками данного налога являются физические и юридические лица. Анализ задолженности показал, что в числе задолжников жители в основном, не проживающие на территории поселения, дачники.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 Проводится активная работа с жителями и дачниками с целью регистрации ими прав на земельные участки и имущество.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Администрацией поселения постоянно ведется работа по оформлению земли и домовладений в собственность граждан.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2021 году администрацией был оформлен земельный участок под строительство новой школы, площадью 3,5 га.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собственность администрации был передан участок площадью 2 га под новое кладбище.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Сформирован и сейчас ведётся процесс оформления участка под парк, площадью белее 1 Га.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2022 году планируется оформление старого кладбище.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1C702E" w:rsidRDefault="00757F9D" w:rsidP="005E6DA5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C702E">
              <w:rPr>
                <w:rFonts w:ascii="Arial" w:hAnsi="Arial" w:cs="Arial"/>
                <w:b/>
                <w:color w:val="000000"/>
                <w:sz w:val="26"/>
                <w:szCs w:val="26"/>
              </w:rPr>
              <w:t>Связь.</w:t>
            </w:r>
          </w:p>
          <w:p w:rsidR="00757F9D" w:rsidRPr="00722E44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>В настоящее время в селе есть 3 вида интернета (мобильный, по телефонной связи и высокоскоростной (оптоволокно))</w:t>
            </w:r>
          </w:p>
          <w:p w:rsidR="00757F9D" w:rsidRPr="00722E44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>2021 году нам удалось провести интернет по улице Садовой село Дальнее Ляпино и частично по улице Заречной.</w:t>
            </w:r>
          </w:p>
          <w:p w:rsidR="00757F9D" w:rsidRPr="00722E44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6A0FD9" w:rsidRDefault="00757F9D" w:rsidP="005E6DA5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A0F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Праздничные мероприятия.</w:t>
            </w:r>
          </w:p>
          <w:p w:rsidR="00757F9D" w:rsidRPr="00722E44" w:rsidRDefault="00757F9D" w:rsidP="005E6D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 xml:space="preserve">В 2021 году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даже в сложных условиях пандемии с соблюдением санитарных правил были организованы праздничные мероприятия: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>установлены но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вогодние елки в кол-ве 2-х штук;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на Н</w:t>
            </w: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>овый год дети из много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детных и малообеспеченных семей </w:t>
            </w: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>в прошедшем году получили подарки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определено место и установлена купель для проведения ритуального купания населения на территории Латненского сельского поселения в православный праздник «Крещение Господне»;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проведено </w:t>
            </w: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 xml:space="preserve">торжественного мероприятие посвященного дню Победы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с поздравлением ветеранов</w:t>
            </w: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 xml:space="preserve"> и вдов погибших ВОВ с вручением подарков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организована поездка для детей в поселок Латная на праздник, посвященный дню «Защиты детей»;</w:t>
            </w:r>
          </w:p>
          <w:p w:rsidR="00757F9D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Участвовали в районном конкурсе «Самое красивое село Воронежской области» и заняли первое место на муниципальном этапе.</w:t>
            </w:r>
          </w:p>
          <w:p w:rsidR="00757F9D" w:rsidRPr="00996B52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2021 год будет занесен в историю нашего поселения, Латненское сельское поселение приобрело свою символику, теперь официально у нас есть герб и флаг.</w:t>
            </w:r>
          </w:p>
          <w:p w:rsidR="00757F9D" w:rsidRPr="00722E44" w:rsidRDefault="00757F9D" w:rsidP="005E6DA5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>В текущем году планируется проведение праздника «Масленицы», так же планируем сделать уже традицией установку елок и поздравлять детей из многодетных и малообеспеченных семей с Новым годом!</w:t>
            </w:r>
          </w:p>
          <w:p w:rsidR="00757F9D" w:rsidRPr="00722E44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6A0FD9" w:rsidRDefault="00757F9D" w:rsidP="005E6DA5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0F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 ПЕРСПЕКТИВАХ ПОСЕЛЕНИЯ НА 2022 год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Подводя итоги 2021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года, хочется отметить, что все, что было сделано на территории сельского поселения - это итог совместных усилий администрации всего депутатского корпуса,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предприятий, 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расположенных на территории поселения. Убежден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, что совместно мы можем найти рычаги воздействия на еще не решенные проблемы и реализуем намеченные планы.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Главными задачам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и администрации поселения в 2022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году остается исполнение полномочий в соответствии с Федеральным Законом РФ «Об общих принципах организации местного самоуправления», Уставом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Латненского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сельского поселения, и другими федеральными правовыми актами. Прежде всего это: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1.Работа по исполнению бюджета поселения.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Работа п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о ремонту и содержанию уличных дорог.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>. Усилить работу по благоустройству территории населенных пунктов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Развивать институт ТОС (территория общественного самоуправления) как орган, осуществляющий собственные инициативы по вопросу местного значения и взаимодействие с органами местного самоуправления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Латненского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сельского поселения в решении вопросов непосредственно касающихся жителей данной территории.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 w:rsidRPr="00BF6327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Принять участие в конкурсе и</w:t>
            </w:r>
            <w:r w:rsidRPr="003F691C">
              <w:rPr>
                <w:rFonts w:ascii="Arial" w:hAnsi="Arial" w:cs="Arial"/>
                <w:color w:val="000000"/>
                <w:sz w:val="26"/>
                <w:szCs w:val="26"/>
              </w:rPr>
              <w:t>нициативное бюджетирование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C74A58" w:rsidRDefault="00757F9D" w:rsidP="005E6DA5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74A58"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Заключительная часть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line="306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17711">
              <w:rPr>
                <w:rFonts w:ascii="Arial" w:hAnsi="Arial" w:cs="Arial"/>
                <w:color w:val="000000"/>
                <w:sz w:val="26"/>
                <w:szCs w:val="26"/>
              </w:rPr>
              <w:t>В заключении хочу выразить слова благодарности главе Администрации Семилукского муниц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ипального района Швыркову Г.Ю.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Отдельно хотелось бы поблагодарить депутатов</w:t>
            </w:r>
            <w:r w:rsidRPr="00722E4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Латненского сельского поселения </w:t>
            </w:r>
            <w:r w:rsidRPr="003526CE">
              <w:rPr>
                <w:rFonts w:ascii="Arial" w:hAnsi="Arial" w:cs="Arial"/>
                <w:color w:val="000000"/>
                <w:sz w:val="26"/>
                <w:szCs w:val="26"/>
              </w:rPr>
              <w:t xml:space="preserve">за инициативу, активную жизненную позицию и неравнодушное отношение к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нашему селу</w:t>
            </w:r>
            <w:r w:rsidRPr="003526CE">
              <w:rPr>
                <w:rFonts w:ascii="Arial" w:hAnsi="Arial" w:cs="Arial"/>
                <w:color w:val="000000"/>
                <w:sz w:val="26"/>
                <w:szCs w:val="26"/>
              </w:rPr>
              <w:t>.  Мир держится на неравнодушных, отзывчивых людях, не способных пройти мимо, всегда готовых помочь и оказать поддержку.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Благодарственное письмо вручается депутату Латненского сельского поселения Чеканову Алексею Геннадьевичу, Величкину Алексею Анатольевичу, Ломакину Сергею Юрьнвичу.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6CE"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Латненского</w:t>
            </w:r>
            <w:r w:rsidRPr="003526CE"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сельского поселения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говорит «спасибо» активистам</w:t>
            </w:r>
            <w:r w:rsidRPr="003526CE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нашего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села</w:t>
            </w:r>
            <w:r w:rsidRPr="003526CE">
              <w:rPr>
                <w:rFonts w:ascii="Arial" w:hAnsi="Arial" w:cs="Arial"/>
                <w:color w:val="000000"/>
                <w:sz w:val="26"/>
                <w:szCs w:val="26"/>
              </w:rPr>
              <w:t>, которые постоянно приходят на помощь.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Благодарственное письмо вручается жителю села Латное Шмавгонцу Денису Владимировичу, жителю села Д.Ляпино Новичихину Николаю Ивановичу.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6CE">
              <w:rPr>
                <w:rFonts w:ascii="Arial" w:hAnsi="Arial" w:cs="Arial"/>
                <w:color w:val="000000"/>
                <w:sz w:val="26"/>
                <w:szCs w:val="26"/>
              </w:rPr>
              <w:t xml:space="preserve">Спасибо за заботу и участие. Ваша помощь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Бесценна.</w:t>
            </w:r>
          </w:p>
          <w:p w:rsidR="00757F9D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Огромное спасибо </w:t>
            </w:r>
            <w:r w:rsidRPr="004B255E">
              <w:rPr>
                <w:rFonts w:ascii="Arial" w:hAnsi="Arial" w:cs="Arial"/>
                <w:color w:val="000000"/>
                <w:sz w:val="26"/>
                <w:szCs w:val="26"/>
              </w:rPr>
              <w:t>нашему единственному предприятию ООО «ЖИТО» за помощь и поддержку по выполнению намеченных планов, направленных на улучшение качества жизни сельского поселения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757F9D" w:rsidRPr="00BF6327" w:rsidRDefault="00757F9D" w:rsidP="005E6DA5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Благодарственное письмо вручается главному инженеру ОО «ЖИТО» Лещеву Александру Александровичу.</w:t>
            </w:r>
          </w:p>
          <w:p w:rsidR="00757F9D" w:rsidRDefault="00757F9D" w:rsidP="005E6DA5">
            <w:pPr>
              <w:shd w:val="clear" w:color="auto" w:fill="FFFFFF"/>
              <w:spacing w:line="306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Так же 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</w:t>
            </w:r>
          </w:p>
          <w:p w:rsidR="00757F9D" w:rsidRDefault="00757F9D" w:rsidP="005E6DA5">
            <w:pPr>
              <w:shd w:val="clear" w:color="auto" w:fill="FFFFFF"/>
              <w:spacing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Хочу пожелать Вам всем крепкого здоровья, семейного благополучия, чистого и светлого неба над головой, достойной заработной платы, удачи и счастья детям, внукам.</w:t>
            </w:r>
          </w:p>
          <w:p w:rsidR="00757F9D" w:rsidRDefault="00757F9D" w:rsidP="005E6DA5">
            <w:pPr>
              <w:shd w:val="clear" w:color="auto" w:fill="FFFFFF"/>
              <w:spacing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Огромное Вам всем спасибо за внимание!</w:t>
            </w:r>
          </w:p>
          <w:p w:rsidR="00757F9D" w:rsidRDefault="00757F9D" w:rsidP="005E6DA5">
            <w:pPr>
              <w:shd w:val="clear" w:color="auto" w:fill="FFFFFF"/>
              <w:spacing w:line="306" w:lineRule="atLeast"/>
              <w:ind w:firstLine="85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line="306" w:lineRule="atLeast"/>
              <w:ind w:firstLine="857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line="306" w:lineRule="atLeast"/>
              <w:ind w:firstLine="857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55"/>
            </w:tblGrid>
            <w:tr w:rsidR="00757F9D" w:rsidRPr="00902159" w:rsidTr="005E6DA5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75" w:type="dxa"/>
                  </w:tcMar>
                </w:tcPr>
                <w:p w:rsidR="00757F9D" w:rsidRPr="006A0FD9" w:rsidRDefault="00757F9D" w:rsidP="005E6DA5">
                  <w:pPr>
                    <w:spacing w:before="100" w:after="100" w:line="240" w:lineRule="auto"/>
                    <w:ind w:right="315"/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57F9D" w:rsidRPr="00902159" w:rsidTr="005E6DA5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</w:tcPr>
                <w:p w:rsidR="00757F9D" w:rsidRPr="00902159" w:rsidRDefault="00757F9D" w:rsidP="005E6DA5">
                  <w:pPr>
                    <w:spacing w:before="100" w:after="100" w:line="240" w:lineRule="auto"/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57F9D" w:rsidRPr="00902159" w:rsidTr="005E6DA5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75" w:type="dxa"/>
                  </w:tcMar>
                </w:tcPr>
                <w:p w:rsidR="00757F9D" w:rsidRPr="00902159" w:rsidRDefault="00757F9D" w:rsidP="005E6D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757F9D" w:rsidRPr="00902159" w:rsidRDefault="00757F9D" w:rsidP="005E6DA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902159" w:rsidRDefault="00757F9D" w:rsidP="005E6DA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Default="00757F9D" w:rsidP="005E6DA5">
            <w:pPr>
              <w:shd w:val="clear" w:color="auto" w:fill="FFFFFF"/>
              <w:spacing w:line="306" w:lineRule="atLeast"/>
              <w:ind w:firstLine="857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757F9D" w:rsidRPr="00BF6327" w:rsidRDefault="00757F9D" w:rsidP="005E6DA5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757F9D" w:rsidRPr="00BF6327" w:rsidRDefault="00757F9D" w:rsidP="00757F9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57F9D" w:rsidRPr="00BF6327" w:rsidRDefault="00757F9D" w:rsidP="00757F9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57F9D" w:rsidRPr="00BF6327" w:rsidRDefault="00757F9D" w:rsidP="00757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57F9D" w:rsidRPr="00BF6327" w:rsidRDefault="00757F9D" w:rsidP="00757F9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sz w:val="26"/>
          <w:szCs w:val="26"/>
        </w:rPr>
      </w:pPr>
    </w:p>
    <w:p w:rsidR="00757F9D" w:rsidRPr="00BF6327" w:rsidRDefault="00757F9D" w:rsidP="00757F9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sz w:val="26"/>
          <w:szCs w:val="26"/>
        </w:rPr>
      </w:pPr>
    </w:p>
    <w:p w:rsidR="00757F9D" w:rsidRPr="00BF6327" w:rsidRDefault="00757F9D" w:rsidP="00757F9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sz w:val="26"/>
          <w:szCs w:val="26"/>
        </w:rPr>
      </w:pPr>
    </w:p>
    <w:p w:rsidR="00757F9D" w:rsidRDefault="00757F9D" w:rsidP="00757F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757F9D" w:rsidRDefault="00757F9D" w:rsidP="00757F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757F9D" w:rsidRDefault="00757F9D" w:rsidP="00757F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757F9D" w:rsidRPr="0084573E" w:rsidRDefault="00757F9D" w:rsidP="00757F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D4609E" w:rsidRDefault="00D4609E">
      <w:bookmarkStart w:id="0" w:name="_GoBack"/>
      <w:bookmarkEnd w:id="0"/>
    </w:p>
    <w:sectPr w:rsidR="00D460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BC"/>
    <w:rsid w:val="00757F9D"/>
    <w:rsid w:val="009900BC"/>
    <w:rsid w:val="00D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3963-9FD2-472A-8EB6-3A21544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2023-10-17T09:24:00Z</dcterms:created>
  <dcterms:modified xsi:type="dcterms:W3CDTF">2023-10-17T09:24:00Z</dcterms:modified>
</cp:coreProperties>
</file>